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E5" w:rsidRPr="00752A50" w:rsidRDefault="00752A50" w:rsidP="00752A50">
      <w:pPr>
        <w:jc w:val="center"/>
        <w:rPr>
          <w:b/>
          <w:sz w:val="28"/>
          <w:szCs w:val="28"/>
        </w:rPr>
      </w:pPr>
      <w:r w:rsidRPr="00752A50">
        <w:rPr>
          <w:b/>
          <w:sz w:val="28"/>
          <w:szCs w:val="28"/>
        </w:rPr>
        <w:t>Membership categories and Annual Fee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49"/>
        <w:gridCol w:w="1494"/>
        <w:gridCol w:w="2990"/>
      </w:tblGrid>
      <w:tr w:rsidR="000D56E5" w:rsidTr="0001773A">
        <w:trPr>
          <w:trHeight w:val="153"/>
        </w:trPr>
        <w:tc>
          <w:tcPr>
            <w:tcW w:w="2235" w:type="dxa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Membership </w:t>
            </w:r>
          </w:p>
        </w:tc>
        <w:tc>
          <w:tcPr>
            <w:tcW w:w="3743" w:type="dxa"/>
            <w:gridSpan w:val="2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Explanation </w:t>
            </w:r>
          </w:p>
        </w:tc>
        <w:tc>
          <w:tcPr>
            <w:tcW w:w="2990" w:type="dxa"/>
          </w:tcPr>
          <w:p w:rsidR="000D56E5" w:rsidRDefault="000D56E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Annual Fee </w:t>
            </w:r>
          </w:p>
          <w:p w:rsidR="0001773A" w:rsidRDefault="0001773A">
            <w:pPr>
              <w:pStyle w:val="Default"/>
              <w:rPr>
                <w:sz w:val="22"/>
                <w:szCs w:val="22"/>
              </w:rPr>
            </w:pPr>
          </w:p>
        </w:tc>
      </w:tr>
      <w:tr w:rsidR="000D56E5" w:rsidTr="0001773A">
        <w:trPr>
          <w:trHeight w:val="407"/>
        </w:trPr>
        <w:tc>
          <w:tcPr>
            <w:tcW w:w="2235" w:type="dxa"/>
          </w:tcPr>
          <w:p w:rsidR="000D56E5" w:rsidRDefault="00D07550" w:rsidP="0001773A">
            <w:pPr>
              <w:pStyle w:val="Default"/>
              <w:rPr>
                <w:sz w:val="22"/>
                <w:szCs w:val="22"/>
              </w:rPr>
            </w:pPr>
            <w:r w:rsidRPr="00D07550">
              <w:rPr>
                <w:b/>
                <w:bCs/>
                <w:sz w:val="22"/>
                <w:szCs w:val="22"/>
              </w:rPr>
              <w:t xml:space="preserve">Full </w:t>
            </w:r>
            <w:r>
              <w:rPr>
                <w:b/>
                <w:bCs/>
                <w:sz w:val="22"/>
                <w:szCs w:val="22"/>
              </w:rPr>
              <w:t xml:space="preserve">Adult Member </w:t>
            </w:r>
          </w:p>
        </w:tc>
        <w:tc>
          <w:tcPr>
            <w:tcW w:w="3743" w:type="dxa"/>
            <w:gridSpan w:val="2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membership is open to adults (aged 18+) </w:t>
            </w:r>
          </w:p>
        </w:tc>
        <w:tc>
          <w:tcPr>
            <w:tcW w:w="2990" w:type="dxa"/>
          </w:tcPr>
          <w:p w:rsidR="000D56E5" w:rsidRDefault="000D56E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£255</w:t>
            </w:r>
            <w:r w:rsidR="0001773A">
              <w:rPr>
                <w:b/>
                <w:bCs/>
                <w:sz w:val="22"/>
                <w:szCs w:val="22"/>
              </w:rPr>
              <w:t xml:space="preserve"> for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1773A">
              <w:rPr>
                <w:b/>
                <w:bCs/>
                <w:sz w:val="22"/>
                <w:szCs w:val="22"/>
              </w:rPr>
              <w:t xml:space="preserve">Standard Rate Tax Payers </w:t>
            </w:r>
          </w:p>
          <w:p w:rsidR="0001773A" w:rsidRDefault="000177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1773A" w:rsidRDefault="000177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£325 for Higher Rate Tax Payers</w:t>
            </w:r>
          </w:p>
          <w:p w:rsidR="0001773A" w:rsidRDefault="0001773A">
            <w:pPr>
              <w:pStyle w:val="Default"/>
              <w:rPr>
                <w:sz w:val="22"/>
                <w:szCs w:val="22"/>
              </w:rPr>
            </w:pPr>
          </w:p>
        </w:tc>
      </w:tr>
      <w:tr w:rsidR="000D56E5" w:rsidTr="0001773A">
        <w:trPr>
          <w:trHeight w:val="276"/>
        </w:trPr>
        <w:tc>
          <w:tcPr>
            <w:tcW w:w="2235" w:type="dxa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Country Member </w:t>
            </w:r>
          </w:p>
        </w:tc>
        <w:tc>
          <w:tcPr>
            <w:tcW w:w="3743" w:type="dxa"/>
            <w:gridSpan w:val="2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Country membership is open to adults </w:t>
            </w:r>
            <w:r w:rsidR="00D07550">
              <w:rPr>
                <w:sz w:val="22"/>
                <w:szCs w:val="22"/>
              </w:rPr>
              <w:t xml:space="preserve">(aged 18+) </w:t>
            </w:r>
            <w:r>
              <w:rPr>
                <w:sz w:val="22"/>
                <w:szCs w:val="22"/>
              </w:rPr>
              <w:t xml:space="preserve">who live 50 or more miles from NRS </w:t>
            </w:r>
          </w:p>
        </w:tc>
        <w:tc>
          <w:tcPr>
            <w:tcW w:w="2990" w:type="dxa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£120 </w:t>
            </w:r>
          </w:p>
        </w:tc>
      </w:tr>
      <w:tr w:rsidR="000D56E5" w:rsidTr="0001773A">
        <w:trPr>
          <w:trHeight w:val="781"/>
        </w:trPr>
        <w:tc>
          <w:tcPr>
            <w:tcW w:w="2235" w:type="dxa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</w:t>
            </w:r>
          </w:p>
        </w:tc>
        <w:tc>
          <w:tcPr>
            <w:tcW w:w="3743" w:type="dxa"/>
            <w:gridSpan w:val="2"/>
          </w:tcPr>
          <w:p w:rsidR="000D56E5" w:rsidRDefault="000D56E5" w:rsidP="001E0F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membership is open to adults aged 18 to 24 inclusive as at 31 Dec of the year prior. A person who is over the age of 24 and is a full-time student is also eligible to apply for student membership, but must show proof of student status; </w:t>
            </w:r>
          </w:p>
        </w:tc>
        <w:tc>
          <w:tcPr>
            <w:tcW w:w="2990" w:type="dxa"/>
          </w:tcPr>
          <w:p w:rsidR="000D56E5" w:rsidRDefault="000D56E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D56E5" w:rsidRDefault="000D56E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D56E5" w:rsidRDefault="00A300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£50</w:t>
            </w:r>
            <w:r w:rsidR="000D56E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D56E5" w:rsidTr="0001773A">
        <w:trPr>
          <w:trHeight w:val="276"/>
        </w:trPr>
        <w:tc>
          <w:tcPr>
            <w:tcW w:w="2235" w:type="dxa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Child </w:t>
            </w:r>
          </w:p>
        </w:tc>
        <w:tc>
          <w:tcPr>
            <w:tcW w:w="3743" w:type="dxa"/>
            <w:gridSpan w:val="2"/>
          </w:tcPr>
          <w:p w:rsidR="000D56E5" w:rsidRPr="00752A50" w:rsidRDefault="000D56E5" w:rsidP="000D56E5">
            <w:pPr>
              <w:pStyle w:val="Default"/>
              <w:rPr>
                <w:color w:val="auto"/>
                <w:sz w:val="22"/>
                <w:szCs w:val="22"/>
              </w:rPr>
            </w:pPr>
            <w:r w:rsidRPr="00F413BC">
              <w:rPr>
                <w:color w:val="auto"/>
                <w:sz w:val="22"/>
                <w:szCs w:val="22"/>
              </w:rPr>
              <w:t>C</w:t>
            </w:r>
            <w:r w:rsidRPr="00752A50">
              <w:rPr>
                <w:color w:val="auto"/>
                <w:sz w:val="22"/>
                <w:szCs w:val="22"/>
              </w:rPr>
              <w:t xml:space="preserve">hild membership is available for those aged up to </w:t>
            </w:r>
            <w:r w:rsidR="00AB7890" w:rsidRPr="00752A50">
              <w:rPr>
                <w:color w:val="auto"/>
                <w:sz w:val="22"/>
                <w:szCs w:val="22"/>
              </w:rPr>
              <w:t xml:space="preserve">and </w:t>
            </w:r>
            <w:r w:rsidR="00D07550" w:rsidRPr="00752A50">
              <w:rPr>
                <w:color w:val="auto"/>
                <w:sz w:val="22"/>
                <w:szCs w:val="22"/>
              </w:rPr>
              <w:t>including 17</w:t>
            </w:r>
            <w:r w:rsidRPr="00752A50">
              <w:rPr>
                <w:color w:val="auto"/>
                <w:sz w:val="22"/>
                <w:szCs w:val="22"/>
              </w:rPr>
              <w:t xml:space="preserve">, as at 31 Dec of the year prior. </w:t>
            </w:r>
          </w:p>
          <w:p w:rsidR="000D56E5" w:rsidRPr="000D56E5" w:rsidRDefault="000D56E5" w:rsidP="000D56E5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990" w:type="dxa"/>
          </w:tcPr>
          <w:p w:rsidR="000D56E5" w:rsidRPr="000D56E5" w:rsidRDefault="000D56E5" w:rsidP="000D56E5">
            <w:pPr>
              <w:pStyle w:val="Default"/>
              <w:rPr>
                <w:color w:val="FF0000"/>
                <w:sz w:val="22"/>
                <w:szCs w:val="22"/>
              </w:rPr>
            </w:pPr>
            <w:r w:rsidRPr="00752A50">
              <w:rPr>
                <w:b/>
                <w:bCs/>
                <w:color w:val="auto"/>
                <w:sz w:val="22"/>
                <w:szCs w:val="22"/>
              </w:rPr>
              <w:t xml:space="preserve">£00 </w:t>
            </w:r>
          </w:p>
        </w:tc>
      </w:tr>
      <w:tr w:rsidR="00D07550" w:rsidTr="0001773A">
        <w:trPr>
          <w:trHeight w:val="781"/>
        </w:trPr>
        <w:tc>
          <w:tcPr>
            <w:tcW w:w="2235" w:type="dxa"/>
          </w:tcPr>
          <w:p w:rsidR="00D07550" w:rsidRPr="00752A50" w:rsidRDefault="00D07550" w:rsidP="00D0755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52A50">
              <w:rPr>
                <w:b/>
                <w:bCs/>
                <w:color w:val="auto"/>
                <w:sz w:val="22"/>
                <w:szCs w:val="22"/>
              </w:rPr>
              <w:t>Conversion candidate</w:t>
            </w:r>
          </w:p>
          <w:p w:rsidR="00D07550" w:rsidRDefault="00D07550" w:rsidP="00D0755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07550" w:rsidRDefault="00D0755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  <w:gridSpan w:val="2"/>
          </w:tcPr>
          <w:p w:rsidR="00D07550" w:rsidRDefault="00D07550" w:rsidP="00D075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 candidate membership is open to people who have been accepted into the conversion programme</w:t>
            </w:r>
          </w:p>
        </w:tc>
        <w:tc>
          <w:tcPr>
            <w:tcW w:w="2990" w:type="dxa"/>
          </w:tcPr>
          <w:p w:rsidR="00D07550" w:rsidRPr="00752A50" w:rsidRDefault="00D07550" w:rsidP="00D0755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52A50">
              <w:rPr>
                <w:b/>
                <w:bCs/>
                <w:color w:val="auto"/>
                <w:sz w:val="22"/>
                <w:szCs w:val="22"/>
              </w:rPr>
              <w:t>£255  (Standard Rate Tax Payer)</w:t>
            </w:r>
          </w:p>
          <w:p w:rsidR="00D07550" w:rsidRPr="00752A50" w:rsidRDefault="00D07550" w:rsidP="00D0755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D07550" w:rsidRPr="00752A50" w:rsidRDefault="00D07550" w:rsidP="00D0755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52A50">
              <w:rPr>
                <w:b/>
                <w:bCs/>
                <w:color w:val="auto"/>
                <w:sz w:val="22"/>
                <w:szCs w:val="22"/>
              </w:rPr>
              <w:t>£325 Higher Rate Tax Payer</w:t>
            </w:r>
          </w:p>
          <w:p w:rsidR="00D07550" w:rsidRPr="000D56E5" w:rsidRDefault="00D07550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D56E5" w:rsidTr="0001773A">
        <w:trPr>
          <w:trHeight w:val="781"/>
        </w:trPr>
        <w:tc>
          <w:tcPr>
            <w:tcW w:w="2235" w:type="dxa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Friend (single) </w:t>
            </w:r>
          </w:p>
        </w:tc>
        <w:tc>
          <w:tcPr>
            <w:tcW w:w="3743" w:type="dxa"/>
            <w:gridSpan w:val="2"/>
          </w:tcPr>
          <w:p w:rsidR="000D56E5" w:rsidRDefault="000D56E5" w:rsidP="000177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“Friends” are aged 18+ </w:t>
            </w:r>
            <w:r w:rsidR="0001773A">
              <w:rPr>
                <w:sz w:val="22"/>
                <w:szCs w:val="22"/>
              </w:rPr>
              <w:t xml:space="preserve">and </w:t>
            </w:r>
            <w:r w:rsidR="0001773A" w:rsidRPr="00874820">
              <w:rPr>
                <w:sz w:val="22"/>
                <w:szCs w:val="22"/>
              </w:rPr>
              <w:t xml:space="preserve">support the ideals and activities of NRS, but are </w:t>
            </w:r>
            <w:r w:rsidR="0001773A">
              <w:rPr>
                <w:sz w:val="22"/>
                <w:szCs w:val="22"/>
              </w:rPr>
              <w:t xml:space="preserve">not Jewish and, therefore, </w:t>
            </w:r>
            <w:r w:rsidR="0001773A" w:rsidRPr="00874820">
              <w:rPr>
                <w:sz w:val="22"/>
                <w:szCs w:val="22"/>
              </w:rPr>
              <w:t xml:space="preserve">not eligible for full membership. </w:t>
            </w:r>
            <w:r w:rsidR="0001773A">
              <w:rPr>
                <w:sz w:val="22"/>
                <w:szCs w:val="22"/>
              </w:rPr>
              <w:t xml:space="preserve">The </w:t>
            </w:r>
            <w:r w:rsidR="0001773A" w:rsidRPr="00874820">
              <w:rPr>
                <w:sz w:val="22"/>
                <w:szCs w:val="22"/>
              </w:rPr>
              <w:t>category of ‘Friends of NRS’</w:t>
            </w:r>
            <w:r w:rsidR="0001773A">
              <w:rPr>
                <w:sz w:val="22"/>
                <w:szCs w:val="22"/>
              </w:rPr>
              <w:t xml:space="preserve"> is available for</w:t>
            </w:r>
            <w:r w:rsidR="0001773A" w:rsidRPr="00874820">
              <w:rPr>
                <w:sz w:val="22"/>
                <w:szCs w:val="22"/>
              </w:rPr>
              <w:t xml:space="preserve"> (a)</w:t>
            </w:r>
            <w:r w:rsidR="0001773A">
              <w:rPr>
                <w:sz w:val="22"/>
                <w:szCs w:val="22"/>
              </w:rPr>
              <w:t xml:space="preserve"> </w:t>
            </w:r>
            <w:r w:rsidR="0001773A" w:rsidRPr="00874820">
              <w:rPr>
                <w:sz w:val="22"/>
                <w:szCs w:val="22"/>
              </w:rPr>
              <w:t xml:space="preserve">partners of Jewish members and (b) persons of goodwill who wish to support NRS.  </w:t>
            </w:r>
          </w:p>
        </w:tc>
        <w:tc>
          <w:tcPr>
            <w:tcW w:w="2990" w:type="dxa"/>
          </w:tcPr>
          <w:p w:rsidR="000D56E5" w:rsidRDefault="000D56E5" w:rsidP="00F413BC">
            <w:pPr>
              <w:pStyle w:val="Default"/>
              <w:rPr>
                <w:sz w:val="22"/>
                <w:szCs w:val="22"/>
              </w:rPr>
            </w:pPr>
            <w:r w:rsidRPr="00FB5937">
              <w:rPr>
                <w:b/>
                <w:bCs/>
                <w:color w:val="auto"/>
                <w:sz w:val="22"/>
                <w:szCs w:val="22"/>
              </w:rPr>
              <w:t>£1</w:t>
            </w:r>
            <w:r w:rsidR="00FB5937" w:rsidRPr="00FB5937">
              <w:rPr>
                <w:b/>
                <w:bCs/>
                <w:color w:val="auto"/>
                <w:sz w:val="22"/>
                <w:szCs w:val="22"/>
              </w:rPr>
              <w:t>5</w:t>
            </w:r>
            <w:r w:rsidRPr="00FB5937">
              <w:rPr>
                <w:b/>
                <w:bCs/>
                <w:color w:val="auto"/>
                <w:sz w:val="22"/>
                <w:szCs w:val="22"/>
              </w:rPr>
              <w:t xml:space="preserve">0 </w:t>
            </w:r>
          </w:p>
        </w:tc>
      </w:tr>
      <w:tr w:rsidR="000D56E5" w:rsidTr="00D07550">
        <w:trPr>
          <w:trHeight w:val="153"/>
        </w:trPr>
        <w:tc>
          <w:tcPr>
            <w:tcW w:w="4484" w:type="dxa"/>
            <w:gridSpan w:val="2"/>
          </w:tcPr>
          <w:p w:rsidR="000D56E5" w:rsidRDefault="000D56E5" w:rsidP="00786B9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Funeral Scheme</w:t>
            </w:r>
            <w:r w:rsidR="0001773A">
              <w:rPr>
                <w:b/>
                <w:bCs/>
                <w:sz w:val="22"/>
                <w:szCs w:val="22"/>
              </w:rPr>
              <w:t xml:space="preserve"> membership</w:t>
            </w:r>
            <w:r>
              <w:rPr>
                <w:b/>
                <w:bCs/>
                <w:sz w:val="22"/>
                <w:szCs w:val="22"/>
              </w:rPr>
              <w:t xml:space="preserve"> (adult) </w:t>
            </w:r>
          </w:p>
        </w:tc>
        <w:tc>
          <w:tcPr>
            <w:tcW w:w="4484" w:type="dxa"/>
            <w:gridSpan w:val="2"/>
          </w:tcPr>
          <w:p w:rsidR="000D56E5" w:rsidRDefault="000D56E5" w:rsidP="00DC3E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£6</w:t>
            </w:r>
            <w:r w:rsidR="00DC3E9F">
              <w:rPr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0D56E5" w:rsidTr="00D07550">
        <w:trPr>
          <w:trHeight w:val="281"/>
        </w:trPr>
        <w:tc>
          <w:tcPr>
            <w:tcW w:w="4484" w:type="dxa"/>
            <w:gridSpan w:val="2"/>
          </w:tcPr>
          <w:p w:rsidR="000D56E5" w:rsidRPr="00752A50" w:rsidRDefault="000D56E5" w:rsidP="0001773A">
            <w:pPr>
              <w:pStyle w:val="Default"/>
              <w:rPr>
                <w:color w:val="auto"/>
                <w:sz w:val="22"/>
                <w:szCs w:val="22"/>
              </w:rPr>
            </w:pPr>
            <w:r w:rsidRPr="00752A50">
              <w:rPr>
                <w:b/>
                <w:bCs/>
                <w:color w:val="auto"/>
                <w:sz w:val="22"/>
                <w:szCs w:val="22"/>
              </w:rPr>
              <w:t xml:space="preserve">Funeral Scheme </w:t>
            </w:r>
            <w:r w:rsidR="0001773A" w:rsidRPr="00752A50">
              <w:rPr>
                <w:b/>
                <w:bCs/>
                <w:color w:val="auto"/>
                <w:sz w:val="22"/>
                <w:szCs w:val="22"/>
              </w:rPr>
              <w:t xml:space="preserve">membership </w:t>
            </w:r>
            <w:r w:rsidRPr="00752A50">
              <w:rPr>
                <w:b/>
                <w:bCs/>
                <w:color w:val="auto"/>
                <w:sz w:val="22"/>
                <w:szCs w:val="22"/>
              </w:rPr>
              <w:t>(student</w:t>
            </w:r>
            <w:r w:rsidR="001E0FAE" w:rsidRPr="00752A50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1E0FAE" w:rsidRPr="00752A50">
              <w:rPr>
                <w:b/>
                <w:color w:val="auto"/>
                <w:sz w:val="22"/>
                <w:szCs w:val="22"/>
              </w:rPr>
              <w:t>aged 18 to 24 inclusive as at 31 Dec of the year prior</w:t>
            </w:r>
            <w:r w:rsidR="00786B98" w:rsidRPr="00752A50">
              <w:rPr>
                <w:b/>
                <w:bCs/>
                <w:color w:val="auto"/>
                <w:sz w:val="22"/>
                <w:szCs w:val="22"/>
              </w:rPr>
              <w:t>)</w:t>
            </w:r>
            <w:r w:rsidRPr="00752A5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4" w:type="dxa"/>
            <w:gridSpan w:val="2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£45 </w:t>
            </w:r>
          </w:p>
        </w:tc>
      </w:tr>
      <w:tr w:rsidR="000D56E5" w:rsidTr="00D07550">
        <w:trPr>
          <w:trHeight w:val="281"/>
        </w:trPr>
        <w:tc>
          <w:tcPr>
            <w:tcW w:w="4484" w:type="dxa"/>
            <w:gridSpan w:val="2"/>
          </w:tcPr>
          <w:p w:rsidR="000D56E5" w:rsidRPr="00752A50" w:rsidRDefault="000D56E5" w:rsidP="00786B98">
            <w:pPr>
              <w:pStyle w:val="Default"/>
              <w:rPr>
                <w:color w:val="auto"/>
                <w:sz w:val="22"/>
                <w:szCs w:val="22"/>
              </w:rPr>
            </w:pPr>
            <w:r w:rsidRPr="00752A50">
              <w:rPr>
                <w:b/>
                <w:bCs/>
                <w:color w:val="auto"/>
                <w:sz w:val="22"/>
                <w:szCs w:val="22"/>
              </w:rPr>
              <w:t xml:space="preserve">Funeral Scheme </w:t>
            </w:r>
            <w:r w:rsidR="0001773A" w:rsidRPr="00752A50">
              <w:rPr>
                <w:b/>
                <w:bCs/>
                <w:color w:val="auto"/>
                <w:sz w:val="22"/>
                <w:szCs w:val="22"/>
              </w:rPr>
              <w:t>membership (child</w:t>
            </w:r>
            <w:r w:rsidR="00786B98" w:rsidRPr="00752A50">
              <w:rPr>
                <w:b/>
                <w:bCs/>
                <w:color w:val="auto"/>
                <w:sz w:val="22"/>
                <w:szCs w:val="22"/>
              </w:rPr>
              <w:t>)</w:t>
            </w:r>
            <w:r w:rsidRPr="00752A5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4" w:type="dxa"/>
            <w:gridSpan w:val="2"/>
          </w:tcPr>
          <w:p w:rsidR="000D56E5" w:rsidRDefault="000D56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 charge </w:t>
            </w:r>
          </w:p>
        </w:tc>
      </w:tr>
    </w:tbl>
    <w:p w:rsidR="0001773A" w:rsidRDefault="0001773A" w:rsidP="0001773A">
      <w:pPr>
        <w:spacing w:after="0" w:line="240" w:lineRule="auto"/>
      </w:pPr>
    </w:p>
    <w:p w:rsidR="0001773A" w:rsidRDefault="0001773A" w:rsidP="0001773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665"/>
      </w:tblGrid>
      <w:tr w:rsidR="0001773A" w:rsidRPr="00105CA6" w:rsidTr="00074627">
        <w:tc>
          <w:tcPr>
            <w:tcW w:w="7054" w:type="dxa"/>
            <w:shd w:val="clear" w:color="auto" w:fill="E0E0E0"/>
          </w:tcPr>
          <w:p w:rsidR="0001773A" w:rsidRPr="00105CA6" w:rsidRDefault="0001773A" w:rsidP="00074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5CA6">
              <w:rPr>
                <w:rFonts w:ascii="Arial" w:hAnsi="Arial" w:cs="Arial"/>
                <w:b/>
                <w:sz w:val="22"/>
                <w:szCs w:val="22"/>
              </w:rPr>
              <w:t>Funeral Expenses Scheme (adult)</w:t>
            </w:r>
          </w:p>
        </w:tc>
        <w:tc>
          <w:tcPr>
            <w:tcW w:w="1665" w:type="dxa"/>
          </w:tcPr>
          <w:p w:rsidR="0001773A" w:rsidRPr="00105CA6" w:rsidRDefault="000438FF" w:rsidP="00074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£64</w:t>
            </w:r>
          </w:p>
        </w:tc>
      </w:tr>
      <w:tr w:rsidR="0001773A" w:rsidRPr="00105CA6" w:rsidTr="00074627">
        <w:tc>
          <w:tcPr>
            <w:tcW w:w="7054" w:type="dxa"/>
            <w:shd w:val="clear" w:color="auto" w:fill="E0E0E0"/>
          </w:tcPr>
          <w:p w:rsidR="0001773A" w:rsidRPr="00105CA6" w:rsidRDefault="0001773A" w:rsidP="00074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5CA6">
              <w:rPr>
                <w:rFonts w:ascii="Arial" w:hAnsi="Arial" w:cs="Arial"/>
                <w:b/>
                <w:sz w:val="22"/>
                <w:szCs w:val="22"/>
              </w:rPr>
              <w:t>Funeral Expenses Scheme (student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age 21 – 25 or persons 18 – 20 not living at home</w:t>
            </w:r>
            <w:r w:rsidRPr="00105CA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dxa"/>
          </w:tcPr>
          <w:p w:rsidR="0001773A" w:rsidRPr="00105CA6" w:rsidRDefault="0001773A" w:rsidP="00074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5CA6">
              <w:rPr>
                <w:rFonts w:ascii="Arial" w:hAnsi="Arial" w:cs="Arial"/>
                <w:b/>
                <w:sz w:val="22"/>
                <w:szCs w:val="22"/>
              </w:rPr>
              <w:t>£45</w:t>
            </w:r>
          </w:p>
        </w:tc>
      </w:tr>
      <w:tr w:rsidR="0001773A" w:rsidRPr="00E641FB" w:rsidTr="00074627">
        <w:tc>
          <w:tcPr>
            <w:tcW w:w="7054" w:type="dxa"/>
            <w:tcBorders>
              <w:bottom w:val="single" w:sz="4" w:space="0" w:color="auto"/>
            </w:tcBorders>
            <w:shd w:val="clear" w:color="auto" w:fill="E0E0E0"/>
          </w:tcPr>
          <w:p w:rsidR="0001773A" w:rsidRPr="00105CA6" w:rsidRDefault="0001773A" w:rsidP="00074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5CA6">
              <w:rPr>
                <w:rFonts w:ascii="Arial" w:hAnsi="Arial" w:cs="Arial"/>
                <w:b/>
                <w:sz w:val="22"/>
                <w:szCs w:val="22"/>
              </w:rPr>
              <w:t>Funeral Expenses Scheme (child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under age 21 and living at home</w:t>
            </w:r>
            <w:r w:rsidRPr="00105CA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1773A" w:rsidRPr="00E641FB" w:rsidRDefault="0001773A" w:rsidP="00074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charge</w:t>
            </w:r>
          </w:p>
        </w:tc>
      </w:tr>
    </w:tbl>
    <w:p w:rsidR="0001773A" w:rsidRDefault="0001773A"/>
    <w:sectPr w:rsidR="0001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E5"/>
    <w:rsid w:val="0001773A"/>
    <w:rsid w:val="000438FF"/>
    <w:rsid w:val="000D56E5"/>
    <w:rsid w:val="001E0FAE"/>
    <w:rsid w:val="00752A50"/>
    <w:rsid w:val="00786B98"/>
    <w:rsid w:val="008819F9"/>
    <w:rsid w:val="00A30066"/>
    <w:rsid w:val="00AB7890"/>
    <w:rsid w:val="00CF1EE9"/>
    <w:rsid w:val="00D07550"/>
    <w:rsid w:val="00D224E9"/>
    <w:rsid w:val="00DC3E9F"/>
    <w:rsid w:val="00F413B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773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1773A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773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1773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2018-09-05T11:40:00Z</dcterms:created>
  <dcterms:modified xsi:type="dcterms:W3CDTF">2018-09-05T11:41:00Z</dcterms:modified>
</cp:coreProperties>
</file>